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58D1B"/>
          <w:sz w:val="36"/>
        </w:rPr>
        <w:t>Retribuciones de la Dirección</w:t>
      </w:r>
    </w:p>
    <w:p>
      <w:r>
        <w:rPr>
          <w:i/>
          <w:color w:val="666666"/>
          <w:sz w:val="18"/>
        </w:rPr>
        <w:t>Información organizativa · Última actualización: 1 de octubre de 2026</w:t>
      </w:r>
    </w:p>
    <w:p>
      <w:pPr>
        <w:spacing w:after="120"/>
      </w:pPr>
      <w:r>
        <w:t>Los miembros de la Junta Directiva ejercen sus cargos de forma gratuita y no perciben retribución alguna. La única retribución de personal directivo en la Asociación es la de la Dirección Gerencia.</w:t>
      </w:r>
    </w:p>
    <w:p>
      <w:pPr>
        <w:spacing w:after="120"/>
      </w:pPr>
      <w:r>
        <w:t>La persona titular de la Dirección Gerencia es personal laboral de la Asociación y su retribución se ajusta a las tablas salariales del convenio colectivo estatal de reforma juvenil y protección de menores, tabla de «Resto de centros, programas y recursos»: hasta el ejercicio 2025, las del IV Convenio; desde el ejercicio 2026, las del V Convenio (BOE de 16 de diciembre de 2024, BOE-A-2024-26188).</w:t>
      </w:r>
    </w:p>
    <w:p>
      <w:pPr>
        <w:spacing w:before="200"/>
      </w:pPr>
      <w:r>
        <w:rPr>
          <w:b/>
          <w:color w:val="2A3A14"/>
          <w:sz w:val="26"/>
        </w:rPr>
        <w:t>Escalas según el tamaño del centro o programa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819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Escala</w:t>
            </w:r>
          </w:p>
        </w:tc>
        <w:tc>
          <w:tcPr>
            <w:tcW w:type="dxa" w:w="4819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Plazas / personas trabajadoras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0"/>
              </w:rPr>
              <w:t>A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De 0 a 10 plazas, o hasta 10 trabajadores</w:t>
            </w:r>
          </w:p>
        </w:tc>
      </w:tr>
      <w:tr>
        <w:tc>
          <w:tcPr>
            <w:tcW w:type="dxa" w:w="4819"/>
            <w:shd w:val="clear" w:color="auto" w:fill="F4F7EE"/>
          </w:tcPr>
          <w:p>
            <w:r/>
            <w:r>
              <w:rPr>
                <w:sz w:val="20"/>
              </w:rPr>
              <w:t>B</w:t>
            </w:r>
          </w:p>
        </w:tc>
        <w:tc>
          <w:tcPr>
            <w:tcW w:type="dxa" w:w="4819"/>
            <w:shd w:val="clear" w:color="auto" w:fill="F4F7EE"/>
          </w:tcPr>
          <w:p>
            <w:r/>
            <w:r>
              <w:rPr>
                <w:sz w:val="20"/>
              </w:rPr>
              <w:t>De 11 a 25 plazas, o entre 11 y 25 trabajadores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0"/>
              </w:rPr>
              <w:t>C</w:t>
            </w:r>
          </w:p>
        </w:tc>
        <w:tc>
          <w:tcPr>
            <w:tcW w:type="dxa" w:w="4819"/>
          </w:tcPr>
          <w:p>
            <w:r/>
            <w:r>
              <w:rPr>
                <w:sz w:val="20"/>
              </w:rPr>
              <w:t>De 26 a 50 plazas, o entre 26 y 50 trabajadores</w:t>
            </w:r>
          </w:p>
        </w:tc>
      </w:tr>
      <w:tr>
        <w:tc>
          <w:tcPr>
            <w:tcW w:type="dxa" w:w="4819"/>
            <w:shd w:val="clear" w:color="auto" w:fill="F4F7EE"/>
          </w:tcPr>
          <w:p>
            <w:r/>
            <w:r>
              <w:rPr>
                <w:sz w:val="20"/>
              </w:rPr>
              <w:t>D</w:t>
            </w:r>
          </w:p>
        </w:tc>
        <w:tc>
          <w:tcPr>
            <w:tcW w:type="dxa" w:w="4819"/>
            <w:shd w:val="clear" w:color="auto" w:fill="F4F7EE"/>
          </w:tcPr>
          <w:p>
            <w:r/>
            <w:r>
              <w:rPr>
                <w:sz w:val="20"/>
              </w:rPr>
              <w:t>Más de 50 plazas, o más de 50 trabajadores</w:t>
            </w:r>
          </w:p>
        </w:tc>
      </w:tr>
    </w:tbl>
    <w:p/>
    <w:p>
      <w:pPr>
        <w:spacing w:before="200"/>
      </w:pPr>
      <w:r>
        <w:rPr>
          <w:b/>
          <w:color w:val="2A3A14"/>
          <w:sz w:val="26"/>
        </w:rPr>
        <w:t>Tabla del IV Convenio · ejercicios 2022 a 2025 (el ejercicio evaluado es 2025)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2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Tramo</w:t>
            </w:r>
          </w:p>
        </w:tc>
        <w:tc>
          <w:tcPr>
            <w:tcW w:type="dxa" w:w="192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2022 (€)</w:t>
            </w:r>
          </w:p>
        </w:tc>
        <w:tc>
          <w:tcPr>
            <w:tcW w:type="dxa" w:w="192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2023 (€)</w:t>
            </w:r>
          </w:p>
        </w:tc>
        <w:tc>
          <w:tcPr>
            <w:tcW w:type="dxa" w:w="192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2024 (€)</w:t>
            </w:r>
          </w:p>
        </w:tc>
        <w:tc>
          <w:tcPr>
            <w:tcW w:type="dxa" w:w="192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2025 (€)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20"/>
              </w:rPr>
              <w:t>A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27.372,39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27.918,04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28.469,87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29.097,99</w:t>
            </w:r>
          </w:p>
        </w:tc>
      </w:tr>
      <w:tr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B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28.422,39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28.968,04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29.519,87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30.147,99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20"/>
              </w:rPr>
              <w:t>C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29.472,39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30.018,04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30.569,87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31.197,99</w:t>
            </w:r>
          </w:p>
        </w:tc>
      </w:tr>
      <w:tr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D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30.522,39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31.068,04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31.619,87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32.247,99</w:t>
            </w:r>
          </w:p>
        </w:tc>
      </w:tr>
    </w:tbl>
    <w:p/>
    <w:p>
      <w:pPr>
        <w:spacing w:after="120"/>
      </w:pPr>
      <w:r>
        <w:t>Importes brutos anuales, en euros, de la tabla «Resto de centros, programas y recursos» del IV Convenio colectivo estatal de reforma juvenil y protección de menores.</w:t>
      </w:r>
    </w:p>
    <w:p>
      <w:pPr>
        <w:spacing w:before="200"/>
      </w:pPr>
      <w:r>
        <w:rPr>
          <w:b/>
          <w:color w:val="2A3A14"/>
          <w:sz w:val="26"/>
        </w:rPr>
        <w:t>Tabla del V Convenio · cifras de referencia de la Dirección, 2026 a 2029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2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Tramo</w:t>
            </w:r>
          </w:p>
        </w:tc>
        <w:tc>
          <w:tcPr>
            <w:tcW w:type="dxa" w:w="192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2026 (€)</w:t>
            </w:r>
          </w:p>
        </w:tc>
        <w:tc>
          <w:tcPr>
            <w:tcW w:type="dxa" w:w="192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2027 (€)</w:t>
            </w:r>
          </w:p>
        </w:tc>
        <w:tc>
          <w:tcPr>
            <w:tcW w:type="dxa" w:w="192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2028 (€)</w:t>
            </w:r>
          </w:p>
        </w:tc>
        <w:tc>
          <w:tcPr>
            <w:tcW w:type="dxa" w:w="1928"/>
            <w:shd w:val="clear" w:color="auto" w:fill="658D1B"/>
          </w:tcPr>
          <w:p>
            <w:r/>
            <w:r>
              <w:rPr>
                <w:b/>
                <w:color w:val="FFFFFF"/>
                <w:sz w:val="20"/>
              </w:rPr>
              <w:t>2029 (€)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20"/>
              </w:rPr>
              <w:t>A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31.194,21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33.860,31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35.434,95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37.152,57</w:t>
            </w:r>
          </w:p>
        </w:tc>
      </w:tr>
      <w:tr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B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32.259,96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34.967,02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36.584,30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38.354,52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20"/>
              </w:rPr>
              <w:t>C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33.325,71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36.073,74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37.733,65</w:t>
            </w:r>
          </w:p>
        </w:tc>
        <w:tc>
          <w:tcPr>
            <w:tcW w:type="dxa" w:w="1928"/>
          </w:tcPr>
          <w:p>
            <w:r/>
            <w:r>
              <w:rPr>
                <w:sz w:val="20"/>
              </w:rPr>
              <w:t>39.556,47</w:t>
            </w:r>
          </w:p>
        </w:tc>
      </w:tr>
      <w:tr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D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34.391,46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37.180,45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38.883,00</w:t>
            </w:r>
          </w:p>
        </w:tc>
        <w:tc>
          <w:tcPr>
            <w:tcW w:type="dxa" w:w="1928"/>
            <w:shd w:val="clear" w:color="auto" w:fill="F4F7EE"/>
          </w:tcPr>
          <w:p>
            <w:r/>
            <w:r>
              <w:rPr>
                <w:sz w:val="20"/>
              </w:rPr>
              <w:t>40.758,41</w:t>
            </w:r>
          </w:p>
        </w:tc>
      </w:tr>
    </w:tbl>
    <w:p/>
    <w:p>
      <w:pPr>
        <w:spacing w:after="120"/>
      </w:pPr>
      <w:r>
        <w:t>En el V Convenio (artículo 72), quien ejerce la dirección mantiene su categoría profesional de origen y percibe un complemento de función directiva hasta alcanzar la cifra de referencia anual de su escala, determinada por el número de plazas o de personas trabajadoras. El complemento de antigüedad se abona aparte. Importes brutos anuales, en euros.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928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4"/>
      </w:rPr>
      <w:t>Portal de Transparencia · www.nuevofuturotenerife.org/transparencia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center"/>
    </w:pPr>
    <w:r>
      <w:drawing>
        <wp:inline xmlns:a="http://schemas.openxmlformats.org/drawingml/2006/main" xmlns:pic="http://schemas.openxmlformats.org/drawingml/2006/picture">
          <wp:extent cx="1007999" cy="5095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n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7999" cy="509599"/>
                  </a:xfrm>
                  <a:prstGeom prst="rect"/>
                </pic:spPr>
              </pic:pic>
            </a:graphicData>
          </a:graphic>
        </wp:inline>
      </w:drawing>
    </w:r>
  </w:p>
  <w:p>
    <w:pPr>
      <w:jc w:val="center"/>
    </w:pPr>
    <w:r>
      <w:rPr>
        <w:b/>
        <w:color w:val="2A3A14"/>
        <w:sz w:val="16"/>
      </w:rPr>
      <w:t>ASOCIACIÓN DE HOGARES PARA NIÑOS PRIVADOS DE AMBIENTE FAMILIAR «NUEVO FUTURO» DE TENERIFE</w:t>
    </w:r>
  </w:p>
  <w:p>
    <w:pPr>
      <w:jc w:val="center"/>
    </w:pPr>
    <w:r>
      <w:rPr>
        <w:color w:val="666666"/>
        <w:sz w:val="14"/>
      </w:rPr>
      <w:t>Declarada de Utilidad Pública (Orden de 30/06/1998) · NIF G-38378410 · C/ Puerto Escondido, 1 - 3.º · 38002 Santa Cruz de Tenerife · 922 200 211 · gestion@nuevofuturotenerife.es · www.nuevofuturotenerife.org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